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49"/>
        <w:gridCol w:w="1252"/>
        <w:gridCol w:w="896"/>
        <w:gridCol w:w="236"/>
        <w:gridCol w:w="1134"/>
        <w:gridCol w:w="992"/>
        <w:gridCol w:w="2821"/>
        <w:gridCol w:w="158"/>
      </w:tblGrid>
      <w:tr w:rsidR="00CD6E89" w:rsidRPr="00FD08DA" w:rsidTr="00483044">
        <w:trPr>
          <w:trHeight w:val="255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E89" w:rsidRPr="00FD08DA" w:rsidRDefault="009D3966" w:rsidP="00CD6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08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особенностях ведения бюджетного учета</w:t>
            </w:r>
          </w:p>
        </w:tc>
      </w:tr>
      <w:tr w:rsidR="001B075C" w:rsidRPr="00FD08DA" w:rsidTr="00483044">
        <w:trPr>
          <w:gridAfter w:val="1"/>
          <w:wAfter w:w="158" w:type="dxa"/>
          <w:trHeight w:val="225"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FD08DA" w:rsidRDefault="001B075C" w:rsidP="00CD6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FD08DA" w:rsidRDefault="001B075C" w:rsidP="00CD6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FD08DA" w:rsidRDefault="001B075C" w:rsidP="00CD6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FD08DA" w:rsidRDefault="001B075C" w:rsidP="00CD6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FD08DA" w:rsidRDefault="001B075C" w:rsidP="00CD6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FD08DA" w:rsidRDefault="001B075C" w:rsidP="00CD6E8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75C" w:rsidRPr="00FD08DA" w:rsidRDefault="001B075C" w:rsidP="009D39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№ </w:t>
            </w:r>
            <w:r w:rsidR="009D3966" w:rsidRPr="00FD0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tbl>
      <w:tblPr>
        <w:tblStyle w:val="a7"/>
        <w:tblW w:w="9780" w:type="dxa"/>
        <w:tblInd w:w="534" w:type="dxa"/>
        <w:tblLook w:val="04A0" w:firstRow="1" w:lastRow="0" w:firstColumn="1" w:lastColumn="0" w:noHBand="0" w:noVBand="1"/>
      </w:tblPr>
      <w:tblGrid>
        <w:gridCol w:w="2410"/>
        <w:gridCol w:w="1984"/>
        <w:gridCol w:w="2268"/>
        <w:gridCol w:w="3118"/>
      </w:tblGrid>
      <w:tr w:rsidR="00974391" w:rsidRPr="00FD08DA" w:rsidTr="00FD08DA">
        <w:trPr>
          <w:trHeight w:val="693"/>
        </w:trPr>
        <w:tc>
          <w:tcPr>
            <w:tcW w:w="2410" w:type="dxa"/>
          </w:tcPr>
          <w:p w:rsidR="009D3966" w:rsidRPr="00FD08DA" w:rsidRDefault="004F4B16" w:rsidP="00375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учета</w:t>
            </w:r>
          </w:p>
        </w:tc>
        <w:tc>
          <w:tcPr>
            <w:tcW w:w="1984" w:type="dxa"/>
          </w:tcPr>
          <w:p w:rsidR="004F4B1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Код счета</w:t>
            </w:r>
          </w:p>
          <w:p w:rsidR="009D396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бюджетного учета</w:t>
            </w:r>
          </w:p>
        </w:tc>
        <w:tc>
          <w:tcPr>
            <w:tcW w:w="2268" w:type="dxa"/>
          </w:tcPr>
          <w:p w:rsidR="004F4B1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Характеристика метода оценки</w:t>
            </w:r>
          </w:p>
          <w:p w:rsidR="009D396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и момент отражения операции в учете</w:t>
            </w:r>
          </w:p>
        </w:tc>
        <w:tc>
          <w:tcPr>
            <w:tcW w:w="3118" w:type="dxa"/>
          </w:tcPr>
          <w:p w:rsidR="004F4B1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DA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9D396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DA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4F4B16" w:rsidRPr="00FD08DA" w:rsidTr="00FD08DA">
        <w:trPr>
          <w:trHeight w:val="175"/>
        </w:trPr>
        <w:tc>
          <w:tcPr>
            <w:tcW w:w="2410" w:type="dxa"/>
          </w:tcPr>
          <w:p w:rsidR="004F4B16" w:rsidRPr="00FD08DA" w:rsidRDefault="004F4B16" w:rsidP="003758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4F4B1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F4B1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</w:tcPr>
          <w:p w:rsidR="004F4B16" w:rsidRPr="00FD08DA" w:rsidRDefault="004F4B16" w:rsidP="004F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4B16" w:rsidRPr="00FD08DA" w:rsidTr="00FD08DA">
        <w:trPr>
          <w:trHeight w:val="175"/>
        </w:trPr>
        <w:tc>
          <w:tcPr>
            <w:tcW w:w="2410" w:type="dxa"/>
          </w:tcPr>
          <w:p w:rsidR="004F4B16" w:rsidRPr="00FD08DA" w:rsidRDefault="00974391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Расчеты с плательщиками прочих доходов</w:t>
            </w:r>
          </w:p>
        </w:tc>
        <w:tc>
          <w:tcPr>
            <w:tcW w:w="1984" w:type="dxa"/>
          </w:tcPr>
          <w:p w:rsidR="004F4B16" w:rsidRPr="00FD08DA" w:rsidRDefault="00974391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0 205 81 000</w:t>
            </w:r>
          </w:p>
        </w:tc>
        <w:tc>
          <w:tcPr>
            <w:tcW w:w="2268" w:type="dxa"/>
          </w:tcPr>
          <w:p w:rsidR="004F4B16" w:rsidRPr="00FD08DA" w:rsidRDefault="00974391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Учет денежных средств, относящихся к невыясненным поступлениям, зачисляемым в местный бюджет,  осуществлялся на основании платежных документов.</w:t>
            </w:r>
          </w:p>
        </w:tc>
        <w:tc>
          <w:tcPr>
            <w:tcW w:w="3118" w:type="dxa"/>
          </w:tcPr>
          <w:p w:rsidR="004F4B16" w:rsidRPr="00FD08DA" w:rsidRDefault="00974391" w:rsidP="0052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DA">
              <w:rPr>
                <w:rFonts w:ascii="Times New Roman" w:hAnsi="Times New Roman" w:cs="Times New Roman"/>
                <w:sz w:val="24"/>
                <w:szCs w:val="24"/>
              </w:rPr>
              <w:t>приказ Минфина России от 1 декабря 2010 г. N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приказ Минфина России от 6 декабря 2010 г. N 162н "Об утверждении плана счетов бюджетного учета и инструкции по его применению".</w:t>
            </w:r>
          </w:p>
        </w:tc>
      </w:tr>
      <w:tr w:rsidR="005910D5" w:rsidRPr="00FD08DA" w:rsidTr="00FD08DA">
        <w:trPr>
          <w:trHeight w:val="175"/>
        </w:trPr>
        <w:tc>
          <w:tcPr>
            <w:tcW w:w="2410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получателей бюджетных средств</w:t>
            </w:r>
          </w:p>
        </w:tc>
        <w:tc>
          <w:tcPr>
            <w:tcW w:w="1984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1 501 13 000</w:t>
            </w:r>
          </w:p>
        </w:tc>
        <w:tc>
          <w:tcPr>
            <w:tcW w:w="2268" w:type="dxa"/>
            <w:vMerge w:val="restart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 (по денежным средствам, поступившим на банковские счета) отражаются в учете в день получения извещения от ГРБС</w:t>
            </w:r>
          </w:p>
        </w:tc>
        <w:tc>
          <w:tcPr>
            <w:tcW w:w="3118" w:type="dxa"/>
            <w:vMerge w:val="restart"/>
          </w:tcPr>
          <w:p w:rsidR="005910D5" w:rsidRPr="00FD08DA" w:rsidRDefault="005910D5" w:rsidP="00524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DA">
              <w:rPr>
                <w:rFonts w:ascii="Times New Roman" w:hAnsi="Times New Roman" w:cs="Times New Roman"/>
                <w:sz w:val="24"/>
                <w:szCs w:val="24"/>
              </w:rPr>
              <w:t>Учетная политика учреждения</w:t>
            </w:r>
          </w:p>
        </w:tc>
      </w:tr>
      <w:tr w:rsidR="005910D5" w:rsidRPr="00FD08DA" w:rsidTr="00FD08DA">
        <w:trPr>
          <w:trHeight w:val="175"/>
        </w:trPr>
        <w:tc>
          <w:tcPr>
            <w:tcW w:w="2410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Полученные лимиты бюджетных обязательств</w:t>
            </w:r>
          </w:p>
        </w:tc>
        <w:tc>
          <w:tcPr>
            <w:tcW w:w="1984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1 501 15 000</w:t>
            </w:r>
          </w:p>
        </w:tc>
        <w:tc>
          <w:tcPr>
            <w:tcW w:w="2268" w:type="dxa"/>
            <w:vMerge/>
          </w:tcPr>
          <w:p w:rsidR="005910D5" w:rsidRPr="00FD08DA" w:rsidRDefault="005910D5" w:rsidP="005910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5910D5" w:rsidRPr="00FD08DA" w:rsidRDefault="005910D5" w:rsidP="0052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5" w:rsidRPr="00FD08DA" w:rsidTr="00FD08DA">
        <w:trPr>
          <w:trHeight w:val="175"/>
        </w:trPr>
        <w:tc>
          <w:tcPr>
            <w:tcW w:w="2410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получателей бюджетных средств</w:t>
            </w:r>
          </w:p>
        </w:tc>
        <w:tc>
          <w:tcPr>
            <w:tcW w:w="1984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1 503 13 000</w:t>
            </w:r>
          </w:p>
        </w:tc>
        <w:tc>
          <w:tcPr>
            <w:tcW w:w="2268" w:type="dxa"/>
            <w:vMerge w:val="restart"/>
          </w:tcPr>
          <w:p w:rsidR="005910D5" w:rsidRPr="00FD08DA" w:rsidRDefault="005910D5" w:rsidP="005910D5">
            <w:pPr>
              <w:pStyle w:val="ConsPlusNormal"/>
              <w:rPr>
                <w:rFonts w:ascii="Times New Roman" w:hAnsi="Times New Roman" w:cs="Times New Roman"/>
              </w:rPr>
            </w:pPr>
            <w:r w:rsidRPr="00FD08DA">
              <w:rPr>
                <w:rFonts w:ascii="Times New Roman" w:hAnsi="Times New Roman" w:cs="Times New Roman"/>
              </w:rPr>
              <w:t>Бюджетные ассигнования (по денежным средствам, поступившим на банковские счета) отражаются в учете в день получения извещения от ГРБС</w:t>
            </w:r>
          </w:p>
        </w:tc>
        <w:tc>
          <w:tcPr>
            <w:tcW w:w="3118" w:type="dxa"/>
            <w:vMerge/>
          </w:tcPr>
          <w:p w:rsidR="005910D5" w:rsidRPr="00FD08DA" w:rsidRDefault="005910D5" w:rsidP="0052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5" w:rsidRPr="00FD08DA" w:rsidTr="00FD08DA">
        <w:trPr>
          <w:trHeight w:val="175"/>
        </w:trPr>
        <w:tc>
          <w:tcPr>
            <w:tcW w:w="2410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Полученные бюджетные ассигнования</w:t>
            </w:r>
          </w:p>
        </w:tc>
        <w:tc>
          <w:tcPr>
            <w:tcW w:w="1984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1 503 15 000</w:t>
            </w:r>
          </w:p>
        </w:tc>
        <w:tc>
          <w:tcPr>
            <w:tcW w:w="2268" w:type="dxa"/>
            <w:vMerge/>
          </w:tcPr>
          <w:p w:rsidR="005910D5" w:rsidRPr="00FD08DA" w:rsidRDefault="005910D5" w:rsidP="005910D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5910D5" w:rsidRPr="00FD08DA" w:rsidRDefault="005910D5" w:rsidP="0052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5" w:rsidRPr="00FD08DA" w:rsidTr="00FD08DA">
        <w:trPr>
          <w:trHeight w:val="175"/>
        </w:trPr>
        <w:tc>
          <w:tcPr>
            <w:tcW w:w="2410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Материальные запасы</w:t>
            </w:r>
          </w:p>
        </w:tc>
        <w:tc>
          <w:tcPr>
            <w:tcW w:w="1984" w:type="dxa"/>
          </w:tcPr>
          <w:p w:rsidR="005910D5" w:rsidRPr="00FD08DA" w:rsidRDefault="005910D5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1 105 00 000</w:t>
            </w:r>
          </w:p>
        </w:tc>
        <w:tc>
          <w:tcPr>
            <w:tcW w:w="2268" w:type="dxa"/>
          </w:tcPr>
          <w:p w:rsidR="005910D5" w:rsidRPr="00FD08DA" w:rsidRDefault="005910D5" w:rsidP="005910D5">
            <w:pPr>
              <w:pStyle w:val="ConsPlusNormal"/>
              <w:rPr>
                <w:rFonts w:ascii="Times New Roman" w:hAnsi="Times New Roman" w:cs="Times New Roman"/>
              </w:rPr>
            </w:pPr>
            <w:r w:rsidRPr="00FD08DA">
              <w:rPr>
                <w:rFonts w:ascii="Times New Roman" w:hAnsi="Times New Roman" w:cs="Times New Roman"/>
              </w:rPr>
              <w:t>Выбытие (отпуск) материальных запасов осуществляется по фактической стоимости</w:t>
            </w:r>
          </w:p>
        </w:tc>
        <w:tc>
          <w:tcPr>
            <w:tcW w:w="3118" w:type="dxa"/>
            <w:vMerge/>
          </w:tcPr>
          <w:p w:rsidR="005910D5" w:rsidRPr="00FD08DA" w:rsidRDefault="005910D5" w:rsidP="0052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ECB" w:rsidRPr="00FD08DA" w:rsidTr="00FD08DA">
        <w:trPr>
          <w:trHeight w:val="175"/>
        </w:trPr>
        <w:tc>
          <w:tcPr>
            <w:tcW w:w="2410" w:type="dxa"/>
          </w:tcPr>
          <w:p w:rsidR="00165ECB" w:rsidRPr="00FD08DA" w:rsidRDefault="00165ECB" w:rsidP="00165E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>Основные средства</w:t>
            </w:r>
          </w:p>
        </w:tc>
        <w:tc>
          <w:tcPr>
            <w:tcW w:w="1984" w:type="dxa"/>
          </w:tcPr>
          <w:p w:rsidR="00165ECB" w:rsidRPr="00FD08DA" w:rsidRDefault="00165ECB" w:rsidP="009743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8DA">
              <w:rPr>
                <w:rFonts w:ascii="Times New Roman" w:hAnsi="Times New Roman" w:cs="Times New Roman"/>
                <w:sz w:val="20"/>
                <w:szCs w:val="20"/>
              </w:rPr>
              <w:t xml:space="preserve">1 101 00 000 </w:t>
            </w:r>
          </w:p>
        </w:tc>
        <w:tc>
          <w:tcPr>
            <w:tcW w:w="2268" w:type="dxa"/>
          </w:tcPr>
          <w:p w:rsidR="00165ECB" w:rsidRPr="00FD08DA" w:rsidRDefault="00165ECB" w:rsidP="00FD08DA">
            <w:pPr>
              <w:pStyle w:val="ConsPlusNormal"/>
              <w:rPr>
                <w:rFonts w:ascii="Times New Roman" w:hAnsi="Times New Roman" w:cs="Times New Roman"/>
              </w:rPr>
            </w:pPr>
            <w:r w:rsidRPr="00FD08DA">
              <w:rPr>
                <w:rFonts w:ascii="Times New Roman" w:hAnsi="Times New Roman" w:cs="Times New Roman"/>
              </w:rPr>
              <w:t xml:space="preserve">Применяется линейный способ начисления амортизации основных средств с балансовой стоимостью свыше </w:t>
            </w:r>
            <w:r w:rsidR="00FD08DA" w:rsidRPr="00FD08DA">
              <w:rPr>
                <w:rFonts w:ascii="Times New Roman" w:hAnsi="Times New Roman" w:cs="Times New Roman"/>
              </w:rPr>
              <w:t>100</w:t>
            </w:r>
            <w:r w:rsidRPr="00FD08DA">
              <w:rPr>
                <w:rFonts w:ascii="Times New Roman" w:hAnsi="Times New Roman" w:cs="Times New Roman"/>
              </w:rPr>
              <w:t xml:space="preserve"> тысяч рублей.</w:t>
            </w:r>
          </w:p>
        </w:tc>
        <w:tc>
          <w:tcPr>
            <w:tcW w:w="3118" w:type="dxa"/>
          </w:tcPr>
          <w:p w:rsidR="00165ECB" w:rsidRPr="00FD08DA" w:rsidRDefault="00165ECB" w:rsidP="00524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391" w:rsidRDefault="00974391">
      <w:bookmarkStart w:id="0" w:name="_GoBack"/>
      <w:bookmarkEnd w:id="0"/>
    </w:p>
    <w:sectPr w:rsidR="00974391" w:rsidSect="00FD08DA">
      <w:footerReference w:type="default" r:id="rId6"/>
      <w:pgSz w:w="11906" w:h="16838" w:code="9"/>
      <w:pgMar w:top="1021" w:right="794" w:bottom="1021" w:left="851" w:header="0" w:footer="0" w:gutter="0"/>
      <w:pgNumType w:start="1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8F7" w:rsidRDefault="009F28F7" w:rsidP="006D75D6">
      <w:pPr>
        <w:spacing w:after="0" w:line="240" w:lineRule="auto"/>
      </w:pPr>
      <w:r>
        <w:separator/>
      </w:r>
    </w:p>
  </w:endnote>
  <w:endnote w:type="continuationSeparator" w:id="0">
    <w:p w:rsidR="009F28F7" w:rsidRDefault="009F28F7" w:rsidP="006D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1BB" w:rsidRDefault="00AB11BB">
    <w:pPr>
      <w:pStyle w:val="a5"/>
      <w:jc w:val="center"/>
    </w:pPr>
  </w:p>
  <w:p w:rsidR="006D75D6" w:rsidRDefault="006D75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8F7" w:rsidRDefault="009F28F7" w:rsidP="006D75D6">
      <w:pPr>
        <w:spacing w:after="0" w:line="240" w:lineRule="auto"/>
      </w:pPr>
      <w:r>
        <w:separator/>
      </w:r>
    </w:p>
  </w:footnote>
  <w:footnote w:type="continuationSeparator" w:id="0">
    <w:p w:rsidR="009F28F7" w:rsidRDefault="009F28F7" w:rsidP="006D75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6B"/>
    <w:rsid w:val="0008391E"/>
    <w:rsid w:val="00095D76"/>
    <w:rsid w:val="00165ECB"/>
    <w:rsid w:val="001860A8"/>
    <w:rsid w:val="001B075C"/>
    <w:rsid w:val="001C1332"/>
    <w:rsid w:val="001F1093"/>
    <w:rsid w:val="002A54F2"/>
    <w:rsid w:val="002E2AD2"/>
    <w:rsid w:val="00314CCC"/>
    <w:rsid w:val="00454762"/>
    <w:rsid w:val="00483044"/>
    <w:rsid w:val="004A4CD9"/>
    <w:rsid w:val="004B14C6"/>
    <w:rsid w:val="004C080F"/>
    <w:rsid w:val="004D242D"/>
    <w:rsid w:val="004E3FE8"/>
    <w:rsid w:val="004E4574"/>
    <w:rsid w:val="004F4B16"/>
    <w:rsid w:val="00502AE4"/>
    <w:rsid w:val="00524B68"/>
    <w:rsid w:val="005871D1"/>
    <w:rsid w:val="005910D5"/>
    <w:rsid w:val="005923D1"/>
    <w:rsid w:val="005A4D7A"/>
    <w:rsid w:val="00606580"/>
    <w:rsid w:val="006357A4"/>
    <w:rsid w:val="00677475"/>
    <w:rsid w:val="006D75D6"/>
    <w:rsid w:val="00734727"/>
    <w:rsid w:val="00776B02"/>
    <w:rsid w:val="007D5B0C"/>
    <w:rsid w:val="00812968"/>
    <w:rsid w:val="008E60F5"/>
    <w:rsid w:val="00974391"/>
    <w:rsid w:val="00995F83"/>
    <w:rsid w:val="009D3966"/>
    <w:rsid w:val="009F28F7"/>
    <w:rsid w:val="00A453DC"/>
    <w:rsid w:val="00AB11BB"/>
    <w:rsid w:val="00B339D5"/>
    <w:rsid w:val="00BB4BE5"/>
    <w:rsid w:val="00BE5520"/>
    <w:rsid w:val="00C10870"/>
    <w:rsid w:val="00C229A6"/>
    <w:rsid w:val="00C71225"/>
    <w:rsid w:val="00CD6E89"/>
    <w:rsid w:val="00D05052"/>
    <w:rsid w:val="00D520A5"/>
    <w:rsid w:val="00D9776E"/>
    <w:rsid w:val="00E53523"/>
    <w:rsid w:val="00E96211"/>
    <w:rsid w:val="00ED0F6B"/>
    <w:rsid w:val="00F20B2D"/>
    <w:rsid w:val="00F71EE3"/>
    <w:rsid w:val="00F832D9"/>
    <w:rsid w:val="00FC2114"/>
    <w:rsid w:val="00FD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E34A"/>
  <w15:docId w15:val="{CF68FAF7-16B4-4206-B36E-6848F0F2B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75D6"/>
  </w:style>
  <w:style w:type="paragraph" w:styleId="a5">
    <w:name w:val="footer"/>
    <w:basedOn w:val="a"/>
    <w:link w:val="a6"/>
    <w:uiPriority w:val="99"/>
    <w:unhideWhenUsed/>
    <w:rsid w:val="006D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75D6"/>
  </w:style>
  <w:style w:type="table" w:styleId="a7">
    <w:name w:val="Table Grid"/>
    <w:basedOn w:val="a1"/>
    <w:uiPriority w:val="59"/>
    <w:rsid w:val="009D3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9743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11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910D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Economist</cp:lastModifiedBy>
  <cp:revision>14</cp:revision>
  <cp:lastPrinted>2018-04-25T13:39:00Z</cp:lastPrinted>
  <dcterms:created xsi:type="dcterms:W3CDTF">2017-03-23T13:42:00Z</dcterms:created>
  <dcterms:modified xsi:type="dcterms:W3CDTF">2019-03-05T14:10:00Z</dcterms:modified>
</cp:coreProperties>
</file>